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Nabel Gary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CANDEL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 KENDRICK ST., SUITE 450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Candel Therapeutics, Inc.</w:t>
              </w:r>
            </w:hyperlink>
            <w:r>
              <w:rPr/>
              <w:t xml:space="preserve"> [ </w:t>
            </w:r>
            <w:r>
              <w:rPr>
                <w:rFonts w:ascii="Times;serif" w:hAnsi="Times;serif"/>
                <w:color w:val="0000FF"/>
                <w:sz w:val="24"/>
                <w:shd w:fill="FFFFFF" w:val="clear"/>
              </w:rPr>
              <w:t>CADL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9.08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is subject to time-based vesting. The shares underlying this option shall vest and become exercisable upon the earlier of (i) June 23, 2027 or (ii) the date of the next Annual Meeting of Stockholders of the Issuer; provided, however, that all vesting shall cease if the Reporting Person resigns from the Board of Directors (the "Board") of the Issuer or otherwise ceases to serve as a director, unless the Board determines that the circumstances warrant continuation of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Schoch, as Attorney-In-Fact for Gary J. Nabel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7450" TargetMode="External"/><Relationship Id="rId5" Type="http://schemas.openxmlformats.org/officeDocument/2006/relationships/hyperlink" Target="http://www.sec.gov/cgi-bin/browse-edgar?action=getcompany&amp;CIK=00018413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3534</Characters>
  <CharactersWithSpaces>4128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